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57E16" w14:textId="5264F02D" w:rsidR="00A60C24" w:rsidRDefault="00A60C24"/>
    <w:tbl>
      <w:tblPr>
        <w:tblW w:w="16328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0"/>
        <w:gridCol w:w="1997"/>
        <w:gridCol w:w="1843"/>
        <w:gridCol w:w="1276"/>
        <w:gridCol w:w="1997"/>
        <w:gridCol w:w="1701"/>
        <w:gridCol w:w="1134"/>
      </w:tblGrid>
      <w:tr w:rsidR="00C0322A" w14:paraId="713451C5" w14:textId="77777777" w:rsidTr="00C0322A">
        <w:trPr>
          <w:trHeight w:val="504"/>
        </w:trPr>
        <w:tc>
          <w:tcPr>
            <w:tcW w:w="6380" w:type="dxa"/>
            <w:noWrap/>
            <w:vAlign w:val="center"/>
            <w:hideMark/>
          </w:tcPr>
          <w:p w14:paraId="6C2AB4FB" w14:textId="77777777" w:rsidR="00C0322A" w:rsidRDefault="00C0322A">
            <w:pPr>
              <w:jc w:val="center"/>
              <w:rPr>
                <w:rFonts w:ascii="Metropolis" w:eastAsia="Times New Roman" w:hAnsi="Metropolis" w:cs="Arial"/>
                <w:b/>
                <w:bCs/>
                <w:sz w:val="28"/>
                <w:szCs w:val="28"/>
                <w:lang w:eastAsia="fr-FR"/>
              </w:rPr>
            </w:pPr>
            <w:r>
              <w:rPr>
                <w:rFonts w:ascii="Metropolis" w:eastAsia="Times New Roman" w:hAnsi="Metropolis" w:cs="Arial"/>
                <w:b/>
                <w:bCs/>
                <w:sz w:val="28"/>
                <w:szCs w:val="28"/>
                <w:lang w:eastAsia="fr-FR"/>
              </w:rPr>
              <w:t>FISAC DU PAYS DU CALAISIS</w:t>
            </w:r>
          </w:p>
        </w:tc>
        <w:tc>
          <w:tcPr>
            <w:tcW w:w="1997" w:type="dxa"/>
            <w:noWrap/>
            <w:vAlign w:val="center"/>
            <w:hideMark/>
          </w:tcPr>
          <w:p w14:paraId="3D6DFB8B" w14:textId="16B99D1E" w:rsidR="00C0322A" w:rsidRDefault="00C0322A">
            <w:pPr>
              <w:jc w:val="center"/>
              <w:rPr>
                <w:rFonts w:ascii="Metropolis" w:eastAsia="Times New Roman" w:hAnsi="Metropolis" w:cs="Arial"/>
                <w:b/>
                <w:bCs/>
                <w:sz w:val="28"/>
                <w:szCs w:val="28"/>
                <w:lang w:eastAsia="fr-FR"/>
              </w:rPr>
            </w:pPr>
            <w:r>
              <w:rPr>
                <w:rFonts w:ascii="Metropolis" w:eastAsia="Times New Roman" w:hAnsi="Metropolis" w:cs="Arial"/>
                <w:b/>
                <w:bCs/>
                <w:sz w:val="28"/>
                <w:szCs w:val="28"/>
                <w:lang w:eastAsia="fr-FR"/>
              </w:rPr>
              <w:t xml:space="preserve"> Décision n°18-0254 </w:t>
            </w:r>
          </w:p>
        </w:tc>
        <w:tc>
          <w:tcPr>
            <w:tcW w:w="1843" w:type="dxa"/>
            <w:noWrap/>
            <w:vAlign w:val="center"/>
            <w:hideMark/>
          </w:tcPr>
          <w:p w14:paraId="3F57CECD" w14:textId="77777777" w:rsidR="00C0322A" w:rsidRDefault="00C0322A">
            <w:pPr>
              <w:rPr>
                <w:rFonts w:ascii="Metropolis" w:eastAsia="Times New Roman" w:hAnsi="Metropolis" w:cs="Arial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6A55701" w14:textId="77777777" w:rsidR="00C0322A" w:rsidRDefault="00C0322A">
            <w:pPr>
              <w:rPr>
                <w:sz w:val="20"/>
                <w:szCs w:val="20"/>
                <w:lang w:eastAsia="fr-FR"/>
              </w:rPr>
            </w:pPr>
          </w:p>
        </w:tc>
        <w:tc>
          <w:tcPr>
            <w:tcW w:w="1997" w:type="dxa"/>
            <w:noWrap/>
            <w:vAlign w:val="center"/>
            <w:hideMark/>
          </w:tcPr>
          <w:p w14:paraId="3007949C" w14:textId="77777777" w:rsidR="00C0322A" w:rsidRDefault="00C0322A">
            <w:pPr>
              <w:rPr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2DDCF6F2" w14:textId="77777777" w:rsidR="00C0322A" w:rsidRDefault="00C0322A">
            <w:pPr>
              <w:rPr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10FA6654" w14:textId="77777777" w:rsidR="00C0322A" w:rsidRDefault="00C0322A">
            <w:pPr>
              <w:rPr>
                <w:sz w:val="20"/>
                <w:szCs w:val="20"/>
                <w:lang w:eastAsia="fr-FR"/>
              </w:rPr>
            </w:pPr>
          </w:p>
        </w:tc>
      </w:tr>
      <w:tr w:rsidR="00C0322A" w14:paraId="325ACD33" w14:textId="77777777" w:rsidTr="00C0322A">
        <w:trPr>
          <w:trHeight w:val="504"/>
        </w:trPr>
        <w:tc>
          <w:tcPr>
            <w:tcW w:w="6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808080"/>
            <w:noWrap/>
            <w:vAlign w:val="center"/>
            <w:hideMark/>
          </w:tcPr>
          <w:p w14:paraId="7F31E7AD" w14:textId="77777777" w:rsidR="00C0322A" w:rsidRDefault="00C0322A">
            <w:pPr>
              <w:jc w:val="center"/>
              <w:rPr>
                <w:rFonts w:ascii="Metropolis" w:eastAsia="Times New Roman" w:hAnsi="Metropolis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51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91D474" w14:textId="77777777" w:rsidR="00C0322A" w:rsidRDefault="00C0322A">
            <w:pPr>
              <w:jc w:val="center"/>
              <w:rPr>
                <w:rFonts w:ascii="Metropolis" w:eastAsia="Times New Roman" w:hAnsi="Metropolis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b/>
                <w:bCs/>
                <w:sz w:val="24"/>
                <w:szCs w:val="24"/>
                <w:lang w:eastAsia="fr-FR"/>
              </w:rPr>
              <w:t xml:space="preserve"> CONVENTION CADRE </w:t>
            </w:r>
          </w:p>
        </w:tc>
        <w:tc>
          <w:tcPr>
            <w:tcW w:w="48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BF1DE"/>
            <w:noWrap/>
            <w:vAlign w:val="center"/>
            <w:hideMark/>
          </w:tcPr>
          <w:p w14:paraId="4D9042AD" w14:textId="77777777" w:rsidR="00C0322A" w:rsidRDefault="00C0322A">
            <w:pPr>
              <w:jc w:val="center"/>
              <w:rPr>
                <w:rFonts w:ascii="Metropolis" w:eastAsia="Times New Roman" w:hAnsi="Metropolis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b/>
                <w:bCs/>
                <w:sz w:val="24"/>
                <w:szCs w:val="24"/>
                <w:lang w:eastAsia="fr-FR"/>
              </w:rPr>
              <w:t xml:space="preserve"> AVENANT N°1 </w:t>
            </w:r>
          </w:p>
        </w:tc>
      </w:tr>
      <w:tr w:rsidR="00C0322A" w14:paraId="5705FEFC" w14:textId="77777777" w:rsidTr="00C0322A">
        <w:trPr>
          <w:trHeight w:val="624"/>
        </w:trPr>
        <w:tc>
          <w:tcPr>
            <w:tcW w:w="63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07EFC03" w14:textId="77777777" w:rsidR="00C0322A" w:rsidRDefault="00C0322A">
            <w:pPr>
              <w:rPr>
                <w:rFonts w:ascii="Metropolis" w:eastAsia="Times New Roman" w:hAnsi="Metropolis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6DACE" w14:textId="77777777" w:rsidR="00C0322A" w:rsidRDefault="00C0322A">
            <w:pPr>
              <w:jc w:val="center"/>
              <w:rPr>
                <w:rFonts w:ascii="Metropolis" w:eastAsia="Times New Roman" w:hAnsi="Metropolis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b/>
                <w:bCs/>
                <w:sz w:val="24"/>
                <w:szCs w:val="24"/>
                <w:lang w:eastAsia="fr-FR"/>
              </w:rPr>
              <w:t xml:space="preserve"> Base subventionnable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D0E6" w14:textId="77777777" w:rsidR="00C0322A" w:rsidRDefault="00C0322A">
            <w:pPr>
              <w:jc w:val="center"/>
              <w:rPr>
                <w:rFonts w:ascii="Metropolis" w:eastAsia="Times New Roman" w:hAnsi="Metropolis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b/>
                <w:bCs/>
                <w:sz w:val="24"/>
                <w:szCs w:val="24"/>
                <w:lang w:eastAsia="fr-FR"/>
              </w:rPr>
              <w:t xml:space="preserve"> FISAC accordé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DEED04" w14:textId="250A99FF" w:rsidR="00C0322A" w:rsidRDefault="00C0322A">
            <w:pPr>
              <w:jc w:val="center"/>
              <w:rPr>
                <w:rFonts w:ascii="Metropolis" w:eastAsia="Times New Roman" w:hAnsi="Metropolis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b/>
                <w:bCs/>
                <w:sz w:val="24"/>
                <w:szCs w:val="24"/>
                <w:lang w:eastAsia="fr-FR"/>
              </w:rPr>
              <w:t>Taux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375466" w14:textId="77777777" w:rsidR="00C0322A" w:rsidRDefault="00C0322A">
            <w:pPr>
              <w:jc w:val="center"/>
              <w:rPr>
                <w:rFonts w:ascii="Metropolis" w:eastAsia="Times New Roman" w:hAnsi="Metropolis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b/>
                <w:bCs/>
                <w:sz w:val="24"/>
                <w:szCs w:val="24"/>
                <w:lang w:eastAsia="fr-FR"/>
              </w:rPr>
              <w:t xml:space="preserve"> Nouvelle base subventionnable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AD8B65" w14:textId="77777777" w:rsidR="00C0322A" w:rsidRDefault="00C0322A">
            <w:pPr>
              <w:jc w:val="center"/>
              <w:rPr>
                <w:rFonts w:ascii="Metropolis" w:eastAsia="Times New Roman" w:hAnsi="Metropolis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b/>
                <w:bCs/>
                <w:sz w:val="24"/>
                <w:szCs w:val="24"/>
                <w:lang w:eastAsia="fr-FR"/>
              </w:rPr>
              <w:t xml:space="preserve"> FISAC accordé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C98BD4" w14:textId="77777777" w:rsidR="00C0322A" w:rsidRDefault="00C0322A">
            <w:pPr>
              <w:jc w:val="center"/>
              <w:rPr>
                <w:rFonts w:ascii="Metropolis" w:eastAsia="Times New Roman" w:hAnsi="Metropolis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b/>
                <w:bCs/>
                <w:sz w:val="24"/>
                <w:szCs w:val="24"/>
                <w:lang w:eastAsia="fr-FR"/>
              </w:rPr>
              <w:t>Taux</w:t>
            </w:r>
          </w:p>
        </w:tc>
      </w:tr>
      <w:tr w:rsidR="00C0322A" w14:paraId="285B2F77" w14:textId="77777777" w:rsidTr="00C0322A">
        <w:trPr>
          <w:trHeight w:val="492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3E184" w14:textId="77777777" w:rsidR="00C0322A" w:rsidRDefault="00C0322A">
            <w:pPr>
              <w:jc w:val="center"/>
              <w:rPr>
                <w:rFonts w:ascii="Metropolis" w:eastAsia="Times New Roman" w:hAnsi="Metropolis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b/>
                <w:bCs/>
                <w:sz w:val="24"/>
                <w:szCs w:val="24"/>
                <w:lang w:eastAsia="fr-FR"/>
              </w:rPr>
              <w:t>Investissement</w:t>
            </w:r>
          </w:p>
        </w:tc>
        <w:tc>
          <w:tcPr>
            <w:tcW w:w="5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808080"/>
            <w:noWrap/>
            <w:vAlign w:val="center"/>
            <w:hideMark/>
          </w:tcPr>
          <w:p w14:paraId="41BF41DF" w14:textId="77777777" w:rsidR="00C0322A" w:rsidRDefault="00C0322A">
            <w:pPr>
              <w:jc w:val="center"/>
              <w:rPr>
                <w:rFonts w:ascii="Metropolis" w:eastAsia="Times New Roman" w:hAnsi="Metropolis" w:cs="Arial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83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808080"/>
            <w:noWrap/>
            <w:vAlign w:val="center"/>
            <w:hideMark/>
          </w:tcPr>
          <w:p w14:paraId="614ED556" w14:textId="77777777" w:rsidR="00C0322A" w:rsidRDefault="00C0322A">
            <w:pPr>
              <w:jc w:val="center"/>
              <w:rPr>
                <w:rFonts w:ascii="Metropolis" w:eastAsia="Times New Roman" w:hAnsi="Metropolis" w:cs="Arial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sz w:val="24"/>
                <w:szCs w:val="24"/>
                <w:lang w:eastAsia="fr-FR"/>
              </w:rPr>
              <w:t> </w:t>
            </w:r>
          </w:p>
        </w:tc>
      </w:tr>
      <w:tr w:rsidR="00C0322A" w14:paraId="48A9C50A" w14:textId="77777777" w:rsidTr="00C0322A">
        <w:trPr>
          <w:trHeight w:val="492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38BF4C" w14:textId="77777777" w:rsidR="00C0322A" w:rsidRDefault="00C0322A">
            <w:pP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1.1 Rénovation place de marché hebdomadaire (</w:t>
            </w:r>
            <w:proofErr w:type="gramStart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porteur:</w:t>
            </w:r>
            <w:proofErr w:type="gramEnd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 xml:space="preserve"> commune d'Ardres)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0FA300" w14:textId="3FC33EEA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209 951,00 €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ECE90E" w14:textId="208AF6B3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2 771,00 €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2B57E74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1,32%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07C0DCBE" w14:textId="0A1820FD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209 951,00 €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0CE12C23" w14:textId="1D6EE45A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2 771,00 €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BF1DE"/>
            <w:noWrap/>
            <w:vAlign w:val="center"/>
            <w:hideMark/>
          </w:tcPr>
          <w:p w14:paraId="3566ED48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1,32%</w:t>
            </w:r>
          </w:p>
        </w:tc>
      </w:tr>
      <w:tr w:rsidR="00C0322A" w14:paraId="7E1609EE" w14:textId="77777777" w:rsidTr="00C0322A">
        <w:trPr>
          <w:trHeight w:val="492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F8FA6F" w14:textId="77777777" w:rsidR="00C0322A" w:rsidRDefault="00C0322A">
            <w:pP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3.1 Rachat et modernisation de la dernière boulangerie (</w:t>
            </w:r>
            <w:proofErr w:type="gramStart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porteur:</w:t>
            </w:r>
            <w:proofErr w:type="gramEnd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 xml:space="preserve"> Commune de Ruminghem)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AC3A14" w14:textId="719C89CB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151 130,00 €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3D1596" w14:textId="676451EB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26 674,00 €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D72134D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17,65%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1C5B5BE6" w14:textId="4BB2C301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151 130,00 €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77E141D2" w14:textId="41E0A5EB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26 539,21 €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BF1DE"/>
            <w:noWrap/>
            <w:vAlign w:val="center"/>
            <w:hideMark/>
          </w:tcPr>
          <w:p w14:paraId="17A70922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17,56%</w:t>
            </w:r>
          </w:p>
        </w:tc>
      </w:tr>
      <w:tr w:rsidR="00C0322A" w14:paraId="129924AA" w14:textId="77777777" w:rsidTr="00C0322A">
        <w:trPr>
          <w:trHeight w:val="492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87F296" w14:textId="77777777" w:rsidR="00C0322A" w:rsidRDefault="00C0322A">
            <w:pP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1.2 Aménagements cyclables (</w:t>
            </w:r>
            <w:proofErr w:type="gramStart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porteur:</w:t>
            </w:r>
            <w:proofErr w:type="gramEnd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 xml:space="preserve"> Commune de Marck)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723989" w14:textId="4BC2491C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-  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161CD4" w14:textId="59715D8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-  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05CC59C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0,00%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1215CE49" w14:textId="323CC614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-  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69978D79" w14:textId="5341B03D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-  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BF1DE"/>
            <w:noWrap/>
            <w:vAlign w:val="center"/>
            <w:hideMark/>
          </w:tcPr>
          <w:p w14:paraId="761B5BAE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0,00%</w:t>
            </w:r>
          </w:p>
        </w:tc>
      </w:tr>
      <w:tr w:rsidR="00C0322A" w14:paraId="4EC8146D" w14:textId="77777777" w:rsidTr="00C0322A">
        <w:trPr>
          <w:trHeight w:val="492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204A61" w14:textId="77777777" w:rsidR="00C0322A" w:rsidRDefault="00C0322A">
            <w:pP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3.1 construction du local de boucherie (</w:t>
            </w:r>
            <w:proofErr w:type="gramStart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porteur:</w:t>
            </w:r>
            <w:proofErr w:type="gramEnd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 xml:space="preserve"> Commune de Nortkerque)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D21CB1" w14:textId="65BF6AF6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-  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A387A4" w14:textId="28A96E9E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-  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8979A83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0,00%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5B0F57D9" w14:textId="745E0FF9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-  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76AA0BE0" w14:textId="732048D0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-  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BF1DE"/>
            <w:noWrap/>
            <w:vAlign w:val="center"/>
            <w:hideMark/>
          </w:tcPr>
          <w:p w14:paraId="74968DBA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0,00%</w:t>
            </w:r>
          </w:p>
        </w:tc>
      </w:tr>
      <w:tr w:rsidR="00C0322A" w14:paraId="2F185DD7" w14:textId="77777777" w:rsidTr="00C0322A">
        <w:trPr>
          <w:trHeight w:val="492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C47D2D" w14:textId="77777777" w:rsidR="00C0322A" w:rsidRDefault="00C0322A">
            <w:pP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3.3 Signalétique commerciale et artisanale (</w:t>
            </w:r>
            <w:proofErr w:type="gramStart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porteur:</w:t>
            </w:r>
            <w:proofErr w:type="gramEnd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 xml:space="preserve"> CCRA)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03108C" w14:textId="785ACBEB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30 000,00 €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9EA59A" w14:textId="1DE56F2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6 000,00 €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243B727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20,00%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7AD5FB1A" w14:textId="5FE5C2BD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-  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7E0F0D87" w14:textId="42E28424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-  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BF1DE"/>
            <w:noWrap/>
            <w:vAlign w:val="center"/>
            <w:hideMark/>
          </w:tcPr>
          <w:p w14:paraId="2286F958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0,00%</w:t>
            </w:r>
          </w:p>
        </w:tc>
      </w:tr>
      <w:tr w:rsidR="00C0322A" w14:paraId="020985D8" w14:textId="77777777" w:rsidTr="00C0322A">
        <w:trPr>
          <w:trHeight w:val="492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D4D5C6" w14:textId="77777777" w:rsidR="00C0322A" w:rsidRDefault="00C0322A">
            <w:pP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3.3 Signalétique commerciale et artisanale (</w:t>
            </w:r>
            <w:proofErr w:type="gramStart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porteur:</w:t>
            </w:r>
            <w:proofErr w:type="gramEnd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 xml:space="preserve"> Commune de Coulogne)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19F083" w14:textId="61C24DFF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20 000,00 €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2C946C" w14:textId="3D0B0A19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4 000,00 €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346F456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20,00%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44185FE2" w14:textId="7124BDC8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20 000,00 €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7623365E" w14:textId="52E447B4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4 000,00 €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BF1DE"/>
            <w:noWrap/>
            <w:vAlign w:val="center"/>
            <w:hideMark/>
          </w:tcPr>
          <w:p w14:paraId="3FE9A91D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20,00%</w:t>
            </w:r>
          </w:p>
        </w:tc>
      </w:tr>
      <w:tr w:rsidR="00C0322A" w14:paraId="1BE42763" w14:textId="77777777" w:rsidTr="00C0322A">
        <w:trPr>
          <w:trHeight w:val="492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606DCF" w14:textId="77777777" w:rsidR="00C0322A" w:rsidRDefault="00C0322A">
            <w:pP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2.1 Aides directes à la rénovation des locaux (</w:t>
            </w:r>
            <w:proofErr w:type="gramStart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porteur:</w:t>
            </w:r>
            <w:proofErr w:type="gramEnd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 xml:space="preserve"> CCPO)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617CD7" w14:textId="78B12D2A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120 000,00 €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FEF808" w14:textId="6F031DCB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24 000,00 €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67E2007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20,00%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1F9F6D35" w14:textId="006CB160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120 000,00 €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422D5ABA" w14:textId="1DD452E1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24 000,00 €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BF1DE"/>
            <w:noWrap/>
            <w:vAlign w:val="center"/>
            <w:hideMark/>
          </w:tcPr>
          <w:p w14:paraId="60FE6E8E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20,00%</w:t>
            </w:r>
          </w:p>
        </w:tc>
      </w:tr>
      <w:tr w:rsidR="00C0322A" w14:paraId="10128249" w14:textId="77777777" w:rsidTr="00C0322A">
        <w:trPr>
          <w:trHeight w:val="492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C7C6BA" w14:textId="77777777" w:rsidR="00C0322A" w:rsidRDefault="00C0322A">
            <w:pP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2.1 Aides directes à la rénovation des locaux (</w:t>
            </w:r>
            <w:proofErr w:type="gramStart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porteur:</w:t>
            </w:r>
            <w:proofErr w:type="gramEnd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 xml:space="preserve"> CCRA)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1F852A" w14:textId="38A51591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400 000,00 €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4493EB" w14:textId="1E2E55F9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36 000,00 €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AEB7B5C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9,00%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06E83BDC" w14:textId="3BA1AE7A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450 000,00 €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164D2CAF" w14:textId="17B8D8D8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45 000,00 €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BF1DE"/>
            <w:noWrap/>
            <w:vAlign w:val="center"/>
            <w:hideMark/>
          </w:tcPr>
          <w:p w14:paraId="29B7ED2C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10,00%</w:t>
            </w:r>
          </w:p>
        </w:tc>
      </w:tr>
      <w:tr w:rsidR="00C0322A" w14:paraId="291F1660" w14:textId="77777777" w:rsidTr="00C0322A">
        <w:trPr>
          <w:trHeight w:val="492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1CE112" w14:textId="77777777" w:rsidR="00C0322A" w:rsidRDefault="00C0322A">
            <w:pP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1.1 Rénovation place de marché hebdomadaire (</w:t>
            </w:r>
            <w:proofErr w:type="gramStart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porteur:</w:t>
            </w:r>
            <w:proofErr w:type="gramEnd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 xml:space="preserve"> Commune d’Audruicq)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F32C02" w14:textId="075A5E9A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28 571,00 €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EC129A" w14:textId="66FFEE65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2 857,00 €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D92A1E5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10,00%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0D59A317" w14:textId="01D120C3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28 571,00 €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42D2551D" w14:textId="611754AA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2 857,00 €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BF1DE"/>
            <w:noWrap/>
            <w:vAlign w:val="center"/>
            <w:hideMark/>
          </w:tcPr>
          <w:p w14:paraId="1A181660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10,00%</w:t>
            </w:r>
          </w:p>
        </w:tc>
      </w:tr>
      <w:tr w:rsidR="00C0322A" w14:paraId="0ED8BD92" w14:textId="77777777" w:rsidTr="00C0322A">
        <w:trPr>
          <w:trHeight w:val="492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AA2EE1" w14:textId="77777777" w:rsidR="00C0322A" w:rsidRDefault="00C0322A">
            <w:pP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3.3 Signalétique commerciale et artisanale (</w:t>
            </w:r>
            <w:proofErr w:type="gramStart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porteur:</w:t>
            </w:r>
            <w:proofErr w:type="gramEnd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 xml:space="preserve"> CCPO)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D52496" w14:textId="497491B8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400 000,00 €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E966D5" w14:textId="62DBA6F8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40 000,00 €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F1AD924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10,00%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1408F2CD" w14:textId="0E1E297A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172 844,95 €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36576935" w14:textId="01F7A8E3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34 568,99 €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BF1DE"/>
            <w:noWrap/>
            <w:vAlign w:val="center"/>
            <w:hideMark/>
          </w:tcPr>
          <w:p w14:paraId="526BDBB6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20,00%</w:t>
            </w:r>
          </w:p>
        </w:tc>
      </w:tr>
      <w:tr w:rsidR="00C0322A" w14:paraId="24DFA616" w14:textId="77777777" w:rsidTr="00C0322A">
        <w:trPr>
          <w:trHeight w:val="492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ED4575" w14:textId="77777777" w:rsidR="00C0322A" w:rsidRDefault="00C0322A">
            <w:pP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1.1 Rénovation place de marché hebdomadaire (</w:t>
            </w:r>
            <w:proofErr w:type="gramStart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porteur:</w:t>
            </w:r>
            <w:proofErr w:type="gramEnd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 xml:space="preserve"> Commune de Marck)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8E74EB" w14:textId="22C329C4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-  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2825ED" w14:textId="3067B6B4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-  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B43C4AC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0,00%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01DCD095" w14:textId="3AFF4065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-  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0F3A8C4B" w14:textId="21069773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-  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BF1DE"/>
            <w:noWrap/>
            <w:vAlign w:val="center"/>
            <w:hideMark/>
          </w:tcPr>
          <w:p w14:paraId="5424DA83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0,00%</w:t>
            </w:r>
          </w:p>
        </w:tc>
      </w:tr>
      <w:tr w:rsidR="00C0322A" w14:paraId="22B9AE6B" w14:textId="77777777" w:rsidTr="00C0322A">
        <w:trPr>
          <w:trHeight w:val="492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F3734F" w14:textId="77777777" w:rsidR="00C0322A" w:rsidRDefault="00C0322A">
            <w:pP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1.2 Aménagement d'une zone bleue (porteur Marck)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9B64F5" w14:textId="5ED8061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-  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7CDAE1" w14:textId="49F39A98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-  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4E5B557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0,00%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5B6AAF02" w14:textId="0FB439EF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-  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26C8C8DA" w14:textId="1BBA700F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-  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BF1DE"/>
            <w:noWrap/>
            <w:vAlign w:val="center"/>
            <w:hideMark/>
          </w:tcPr>
          <w:p w14:paraId="7FCE26F6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0,00%</w:t>
            </w:r>
          </w:p>
        </w:tc>
      </w:tr>
      <w:tr w:rsidR="00C0322A" w14:paraId="2A2EA490" w14:textId="77777777" w:rsidTr="00C0322A">
        <w:trPr>
          <w:trHeight w:val="6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650CDF" w14:textId="77777777" w:rsidR="00C0322A" w:rsidRDefault="00C0322A">
            <w:pP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3.1 Rachat et modernisation du dernier café épicerie presse (</w:t>
            </w:r>
            <w:proofErr w:type="gramStart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porteur:</w:t>
            </w:r>
            <w:proofErr w:type="gramEnd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 xml:space="preserve"> Commune de Bonningues Les Calais)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ABA438" w14:textId="21237534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120 000,00 €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C7F70C" w14:textId="7C5869B6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14 400,00 €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85D671F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12,00%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5249C8FB" w14:textId="2E1CDC6C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120 000,00 €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73B03247" w14:textId="6715B8F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14 229,25 €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BF1DE"/>
            <w:noWrap/>
            <w:vAlign w:val="center"/>
            <w:hideMark/>
          </w:tcPr>
          <w:p w14:paraId="4985B99D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11,86%</w:t>
            </w:r>
          </w:p>
        </w:tc>
      </w:tr>
      <w:tr w:rsidR="00C0322A" w14:paraId="25CBF6AD" w14:textId="77777777" w:rsidTr="00C0322A">
        <w:trPr>
          <w:trHeight w:val="492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6BEAB3" w14:textId="77777777" w:rsidR="00C0322A" w:rsidRDefault="00C0322A">
            <w:pP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3.3 Signalétique commerciale et artisanale (</w:t>
            </w:r>
            <w:proofErr w:type="gramStart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porteur:</w:t>
            </w:r>
            <w:proofErr w:type="gramEnd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 xml:space="preserve"> Commune de Marck)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17AC51" w14:textId="27EFE5CD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20 000,00 €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3A90B8" w14:textId="432D0F6F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4 000,00 €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DCEAEE6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20,00%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4D186F0B" w14:textId="08E70CF5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20 000,00 €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3D68C965" w14:textId="5A0CEC15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4 000,00 €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BF1DE"/>
            <w:noWrap/>
            <w:vAlign w:val="center"/>
            <w:hideMark/>
          </w:tcPr>
          <w:p w14:paraId="7802FDB5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20,00%</w:t>
            </w:r>
          </w:p>
        </w:tc>
      </w:tr>
      <w:tr w:rsidR="00C0322A" w14:paraId="2A210A01" w14:textId="77777777" w:rsidTr="00C0322A">
        <w:trPr>
          <w:trHeight w:val="756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C3104F" w14:textId="77777777" w:rsidR="00C0322A" w:rsidRDefault="00C0322A">
            <w:pP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lastRenderedPageBreak/>
              <w:t>Travaux d'accessibilité du dernier commerce de proximité (</w:t>
            </w:r>
            <w:proofErr w:type="gramStart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porteur:</w:t>
            </w:r>
            <w:proofErr w:type="gramEnd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 xml:space="preserve"> commune de Bonningues les Calais)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5568CA" w14:textId="252939BD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-  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A1C8CE" w14:textId="35134B15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-  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6A13BE3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0,00%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02835507" w14:textId="30026B1F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12 000,00 €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03618DB1" w14:textId="54AFF0B8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2 736,55 €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BF1DE"/>
            <w:noWrap/>
            <w:vAlign w:val="center"/>
            <w:hideMark/>
          </w:tcPr>
          <w:p w14:paraId="50856FDB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22,80%</w:t>
            </w:r>
          </w:p>
        </w:tc>
      </w:tr>
      <w:tr w:rsidR="00C0322A" w14:paraId="4692D7D0" w14:textId="77777777" w:rsidTr="00C0322A">
        <w:trPr>
          <w:trHeight w:val="492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990AB" w14:textId="77777777" w:rsidR="00C0322A" w:rsidRDefault="00C0322A">
            <w:pPr>
              <w:rPr>
                <w:rFonts w:ascii="Metropolis" w:eastAsia="Times New Roman" w:hAnsi="Metropolis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b/>
                <w:bCs/>
                <w:color w:val="000000"/>
                <w:sz w:val="24"/>
                <w:szCs w:val="24"/>
                <w:lang w:eastAsia="fr-FR"/>
              </w:rPr>
              <w:t xml:space="preserve">TOTAL 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FD4D3" w14:textId="6A546134" w:rsidR="00C0322A" w:rsidRDefault="00C0322A" w:rsidP="00C0322A">
            <w:pPr>
              <w:jc w:val="center"/>
              <w:rPr>
                <w:rFonts w:ascii="Metropolis" w:eastAsia="Times New Roman" w:hAnsi="Metropolis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b/>
                <w:bCs/>
                <w:color w:val="000000"/>
                <w:sz w:val="24"/>
                <w:szCs w:val="24"/>
                <w:lang w:eastAsia="fr-FR"/>
              </w:rPr>
              <w:t>1 499 652,00 €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48149" w14:textId="2A5EC347" w:rsidR="00C0322A" w:rsidRDefault="00C0322A" w:rsidP="00C0322A">
            <w:pPr>
              <w:jc w:val="center"/>
              <w:rPr>
                <w:rFonts w:ascii="Metropolis" w:eastAsia="Times New Roman" w:hAnsi="Metropolis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b/>
                <w:bCs/>
                <w:color w:val="000000"/>
                <w:sz w:val="24"/>
                <w:szCs w:val="24"/>
                <w:lang w:eastAsia="fr-FR"/>
              </w:rPr>
              <w:t>160 702,00 €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B0B72C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b/>
                <w:bCs/>
                <w:color w:val="000000"/>
                <w:sz w:val="24"/>
                <w:szCs w:val="24"/>
                <w:lang w:eastAsia="fr-FR"/>
              </w:rPr>
              <w:t>9%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726FCAF4" w14:textId="2443B76D" w:rsidR="00C0322A" w:rsidRDefault="00C0322A" w:rsidP="00C0322A">
            <w:pPr>
              <w:jc w:val="center"/>
              <w:rPr>
                <w:rFonts w:ascii="Metropolis" w:eastAsia="Times New Roman" w:hAnsi="Metropolis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b/>
                <w:bCs/>
                <w:color w:val="000000"/>
                <w:sz w:val="24"/>
                <w:szCs w:val="24"/>
                <w:lang w:eastAsia="fr-FR"/>
              </w:rPr>
              <w:t>1 304 496,95 €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45C9E6C8" w14:textId="46204897" w:rsidR="00C0322A" w:rsidRDefault="00C0322A" w:rsidP="00C0322A">
            <w:pPr>
              <w:jc w:val="center"/>
              <w:rPr>
                <w:rFonts w:ascii="Metropolis" w:eastAsia="Times New Roman" w:hAnsi="Metropolis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b/>
                <w:bCs/>
                <w:color w:val="000000"/>
                <w:sz w:val="24"/>
                <w:szCs w:val="24"/>
                <w:lang w:eastAsia="fr-FR"/>
              </w:rPr>
              <w:t>160 702,00 €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BF1DE"/>
            <w:noWrap/>
            <w:vAlign w:val="center"/>
            <w:hideMark/>
          </w:tcPr>
          <w:p w14:paraId="6DA74F1C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b/>
                <w:bCs/>
                <w:color w:val="000000"/>
                <w:sz w:val="24"/>
                <w:szCs w:val="24"/>
                <w:lang w:eastAsia="fr-FR"/>
              </w:rPr>
              <w:t>10%</w:t>
            </w:r>
          </w:p>
        </w:tc>
      </w:tr>
      <w:tr w:rsidR="00C0322A" w14:paraId="7CC6E63C" w14:textId="77777777" w:rsidTr="00C0322A">
        <w:trPr>
          <w:trHeight w:val="492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  <w:hideMark/>
          </w:tcPr>
          <w:p w14:paraId="0A6E1D1C" w14:textId="77777777" w:rsidR="00C0322A" w:rsidRDefault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  <w:hideMark/>
          </w:tcPr>
          <w:p w14:paraId="3D5F66C8" w14:textId="77777777" w:rsidR="00C0322A" w:rsidRDefault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  <w:hideMark/>
          </w:tcPr>
          <w:p w14:paraId="0FF6D58F" w14:textId="77777777" w:rsidR="00C0322A" w:rsidRDefault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808080"/>
            <w:noWrap/>
            <w:vAlign w:val="center"/>
            <w:hideMark/>
          </w:tcPr>
          <w:p w14:paraId="0B6B8CB2" w14:textId="77777777" w:rsidR="00C0322A" w:rsidRDefault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  <w:hideMark/>
          </w:tcPr>
          <w:p w14:paraId="38012F8D" w14:textId="77777777" w:rsidR="00C0322A" w:rsidRDefault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  <w:hideMark/>
          </w:tcPr>
          <w:p w14:paraId="208A187B" w14:textId="77777777" w:rsidR="00C0322A" w:rsidRDefault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808080"/>
            <w:noWrap/>
            <w:vAlign w:val="center"/>
            <w:hideMark/>
          </w:tcPr>
          <w:p w14:paraId="6CD9DB81" w14:textId="77777777" w:rsidR="00C0322A" w:rsidRDefault="00C0322A">
            <w:pPr>
              <w:jc w:val="center"/>
              <w:rPr>
                <w:rFonts w:ascii="Metropolis" w:eastAsia="Times New Roman" w:hAnsi="Metropolis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C0322A" w14:paraId="16789664" w14:textId="77777777" w:rsidTr="00C0322A">
        <w:trPr>
          <w:trHeight w:val="492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B8E18" w14:textId="77777777" w:rsidR="00C0322A" w:rsidRDefault="00C0322A">
            <w:pPr>
              <w:jc w:val="center"/>
              <w:rPr>
                <w:rFonts w:ascii="Metropolis" w:eastAsia="Times New Roman" w:hAnsi="Metropolis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b/>
                <w:bCs/>
                <w:color w:val="000000"/>
                <w:sz w:val="24"/>
                <w:szCs w:val="24"/>
                <w:lang w:eastAsia="fr-FR"/>
              </w:rPr>
              <w:t>Fonctionnement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  <w:hideMark/>
          </w:tcPr>
          <w:p w14:paraId="20072A21" w14:textId="77777777" w:rsidR="00C0322A" w:rsidRDefault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  <w:hideMark/>
          </w:tcPr>
          <w:p w14:paraId="4DE7EDC2" w14:textId="77777777" w:rsidR="00C0322A" w:rsidRDefault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808080"/>
            <w:noWrap/>
            <w:vAlign w:val="center"/>
            <w:hideMark/>
          </w:tcPr>
          <w:p w14:paraId="5599070A" w14:textId="77777777" w:rsidR="00C0322A" w:rsidRDefault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  <w:hideMark/>
          </w:tcPr>
          <w:p w14:paraId="6AAFE31F" w14:textId="77777777" w:rsidR="00C0322A" w:rsidRDefault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  <w:hideMark/>
          </w:tcPr>
          <w:p w14:paraId="78A909F4" w14:textId="77777777" w:rsidR="00C0322A" w:rsidRDefault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808080"/>
            <w:noWrap/>
            <w:vAlign w:val="center"/>
            <w:hideMark/>
          </w:tcPr>
          <w:p w14:paraId="07EFD2D9" w14:textId="77777777" w:rsidR="00C0322A" w:rsidRDefault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C0322A" w14:paraId="20CB4222" w14:textId="77777777" w:rsidTr="00C0322A">
        <w:trPr>
          <w:trHeight w:val="6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2E3FB7" w14:textId="77777777" w:rsidR="00C0322A" w:rsidRDefault="00C0322A">
            <w:pP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5.3 Création d'un poste de manager du commerce - coordinateur du dispositif FISAC à l'échelle du Pays du Calaisis (</w:t>
            </w:r>
            <w:proofErr w:type="gramStart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porteur:</w:t>
            </w:r>
            <w:proofErr w:type="gramEnd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 xml:space="preserve"> SyMPaC)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4F0A9A" w14:textId="5614EA71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40 000,00 €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56757B" w14:textId="7E069CB0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12 000,00 €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EE5F116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30,00%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165EA725" w14:textId="0605B4F9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50 000,00 €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483EFB3A" w14:textId="22774CAA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15 000,00 €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BF1DE"/>
            <w:noWrap/>
            <w:vAlign w:val="center"/>
            <w:hideMark/>
          </w:tcPr>
          <w:p w14:paraId="3338B02B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30,00%</w:t>
            </w:r>
          </w:p>
        </w:tc>
      </w:tr>
      <w:tr w:rsidR="00C0322A" w14:paraId="76589DA4" w14:textId="77777777" w:rsidTr="00C0322A">
        <w:trPr>
          <w:trHeight w:val="492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B4C408" w14:textId="77777777" w:rsidR="00C0322A" w:rsidRDefault="00C0322A">
            <w:pP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2.4 et 5.1 Création d'une base de données sur les locaux vacants (</w:t>
            </w:r>
            <w:proofErr w:type="gramStart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porteur:</w:t>
            </w:r>
            <w:proofErr w:type="gramEnd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 xml:space="preserve"> SyMPaC)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D12ACB" w14:textId="7E737A66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10 500,00 €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6376F3" w14:textId="3588B4F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2 962,00 €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2D733E0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28,21%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04EDEBED" w14:textId="23027E54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-  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36808484" w14:textId="0AEE2C8B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-  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BF1DE"/>
            <w:noWrap/>
            <w:vAlign w:val="center"/>
            <w:hideMark/>
          </w:tcPr>
          <w:p w14:paraId="7B68963D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0,00%</w:t>
            </w:r>
          </w:p>
        </w:tc>
      </w:tr>
      <w:tr w:rsidR="00C0322A" w14:paraId="4AD8BA21" w14:textId="77777777" w:rsidTr="00C0322A">
        <w:trPr>
          <w:trHeight w:val="6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A4839B" w14:textId="77777777" w:rsidR="00C0322A" w:rsidRDefault="00C0322A">
            <w:pP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3.2 Valorisation des marchés de plein air "J'aime mon marché' (</w:t>
            </w:r>
            <w:proofErr w:type="gramStart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porteur:</w:t>
            </w:r>
            <w:proofErr w:type="gramEnd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 xml:space="preserve"> CPETI)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59A1DC" w14:textId="2FEF58BE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12 600,00 €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A33283" w14:textId="185827F2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2 520,00 €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6D5B145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20,00%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2EFE8134" w14:textId="0D011773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4 429,15 €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74AF7943" w14:textId="14A52183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885,83 €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BF1DE"/>
            <w:noWrap/>
            <w:vAlign w:val="center"/>
            <w:hideMark/>
          </w:tcPr>
          <w:p w14:paraId="0ACBE339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20,00%</w:t>
            </w:r>
          </w:p>
        </w:tc>
      </w:tr>
      <w:tr w:rsidR="00C0322A" w14:paraId="1E8340B2" w14:textId="77777777" w:rsidTr="00C0322A">
        <w:trPr>
          <w:trHeight w:val="492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695535" w14:textId="77777777" w:rsidR="00C0322A" w:rsidRDefault="00C0322A">
            <w:pP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3.5 Journée Nationale du commerce de proximité (</w:t>
            </w:r>
            <w:proofErr w:type="gramStart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porteur:</w:t>
            </w:r>
            <w:proofErr w:type="gramEnd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 xml:space="preserve"> 3 unions commerciales)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F6CE90" w14:textId="7FC3AF9B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7 981,00 €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5F2AF9" w14:textId="2E7B51D8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1 596,00 €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700894B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20,00%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7A9FDF61" w14:textId="25902640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7 981,00 €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624983F9" w14:textId="06FD77C9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1 596,00 €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BF1DE"/>
            <w:noWrap/>
            <w:vAlign w:val="center"/>
            <w:hideMark/>
          </w:tcPr>
          <w:p w14:paraId="3958CB7D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20,00%</w:t>
            </w:r>
          </w:p>
        </w:tc>
      </w:tr>
      <w:tr w:rsidR="00C0322A" w14:paraId="27E34ED0" w14:textId="77777777" w:rsidTr="00C0322A">
        <w:trPr>
          <w:trHeight w:val="492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55AEAD" w14:textId="77777777" w:rsidR="00C0322A" w:rsidRDefault="00C0322A">
            <w:pP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3.5 Programme d'animations et d'évènements (</w:t>
            </w:r>
            <w:proofErr w:type="gramStart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porteur:</w:t>
            </w:r>
            <w:proofErr w:type="gramEnd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 xml:space="preserve"> UC Audruicq)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1AFDA9" w14:textId="3E83529B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15 000,00 €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821BEE" w14:textId="0A2CB993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3 000,00 €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67643B7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20,00%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42109D8B" w14:textId="25CFCB49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15 000,00 €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1278C413" w14:textId="04FA8B8D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3 000,00 €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BF1DE"/>
            <w:noWrap/>
            <w:vAlign w:val="center"/>
            <w:hideMark/>
          </w:tcPr>
          <w:p w14:paraId="3E06D9EE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20,00%</w:t>
            </w:r>
          </w:p>
        </w:tc>
      </w:tr>
      <w:tr w:rsidR="00C0322A" w14:paraId="63563A27" w14:textId="77777777" w:rsidTr="00C0322A">
        <w:trPr>
          <w:trHeight w:val="492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5342C0" w14:textId="77777777" w:rsidR="00C0322A" w:rsidRDefault="00C0322A">
            <w:pP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3.5 Programme d'animations et d'évènements (</w:t>
            </w:r>
            <w:proofErr w:type="gramStart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porteur:</w:t>
            </w:r>
            <w:proofErr w:type="gramEnd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 xml:space="preserve"> CPETI)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349AA3" w14:textId="12B88645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111 000,00 €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1D45B8" w14:textId="4888DE9D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11 100,00 €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20869E8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10,00%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67D39663" w14:textId="7DB9DFC9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183 000,00 €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3B3D3B24" w14:textId="3345A6F0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18 300,00 €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BF1DE"/>
            <w:noWrap/>
            <w:vAlign w:val="center"/>
            <w:hideMark/>
          </w:tcPr>
          <w:p w14:paraId="3712B27D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10,00%</w:t>
            </w:r>
          </w:p>
        </w:tc>
      </w:tr>
      <w:tr w:rsidR="00C0322A" w14:paraId="399FC454" w14:textId="77777777" w:rsidTr="00C0322A">
        <w:trPr>
          <w:trHeight w:val="492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01D4B6" w14:textId="77777777" w:rsidR="00C0322A" w:rsidRDefault="00C0322A">
            <w:pP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2.2 Diagnostics d'entreprises (</w:t>
            </w:r>
            <w:proofErr w:type="gramStart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porteur:</w:t>
            </w:r>
            <w:proofErr w:type="gramEnd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 xml:space="preserve"> CCRA)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4A5590" w14:textId="3DE870F0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30 000,00 €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C12A22" w14:textId="7EDAB3EA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6 000,00 €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27A5CBA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20,00%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1B442783" w14:textId="38176229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-  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20AC7B33" w14:textId="2BC47523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-  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BF1DE"/>
            <w:noWrap/>
            <w:vAlign w:val="center"/>
            <w:hideMark/>
          </w:tcPr>
          <w:p w14:paraId="13FF0642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0,00%</w:t>
            </w:r>
          </w:p>
        </w:tc>
      </w:tr>
      <w:tr w:rsidR="00C0322A" w14:paraId="3E081B3A" w14:textId="77777777" w:rsidTr="00C0322A">
        <w:trPr>
          <w:trHeight w:val="492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3BA6C1" w14:textId="77777777" w:rsidR="00C0322A" w:rsidRDefault="00C0322A">
            <w:pP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3.5 Programme d'animations et d'évènements (</w:t>
            </w:r>
            <w:proofErr w:type="gramStart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porteur:</w:t>
            </w:r>
            <w:proofErr w:type="gramEnd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 xml:space="preserve"> UC d'Ardres)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790498" w14:textId="52337646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7 155,00 €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B203D3" w14:textId="7FBBBECC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2 147,00 €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9498FDD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30,01%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762105CC" w14:textId="1B243158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7 155,00 €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6BE84E41" w14:textId="63C020B6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2 147,00 €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BF1DE"/>
            <w:noWrap/>
            <w:vAlign w:val="center"/>
            <w:hideMark/>
          </w:tcPr>
          <w:p w14:paraId="4A0F0A39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30,01%</w:t>
            </w:r>
          </w:p>
        </w:tc>
      </w:tr>
      <w:tr w:rsidR="00C0322A" w14:paraId="3570C2AC" w14:textId="77777777" w:rsidTr="00C0322A">
        <w:trPr>
          <w:trHeight w:val="492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0956D6" w14:textId="77777777" w:rsidR="00C0322A" w:rsidRDefault="00C0322A">
            <w:pP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4.3 Elaborer et mettre en œuvre un programme de fidélisation (</w:t>
            </w:r>
            <w:proofErr w:type="gramStart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porteur:</w:t>
            </w:r>
            <w:proofErr w:type="gramEnd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 xml:space="preserve"> UC d'Ardres)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55369E" w14:textId="792AF0E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5 000,00 €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1D344C" w14:textId="714B3D5B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1 500,00 €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C6C2CD6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30,00%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3D00F6CB" w14:textId="68F59066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-  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6908968C" w14:textId="47ADF48D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-  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BF1DE"/>
            <w:noWrap/>
            <w:vAlign w:val="center"/>
            <w:hideMark/>
          </w:tcPr>
          <w:p w14:paraId="098459AC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0,00%</w:t>
            </w:r>
          </w:p>
        </w:tc>
      </w:tr>
      <w:tr w:rsidR="00C0322A" w14:paraId="191042BA" w14:textId="77777777" w:rsidTr="00C0322A">
        <w:trPr>
          <w:trHeight w:val="492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E91A40" w14:textId="77777777" w:rsidR="00C0322A" w:rsidRDefault="00C0322A">
            <w:pP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2.2 Diagnostics d'entreprises (</w:t>
            </w:r>
            <w:proofErr w:type="gramStart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porteur:</w:t>
            </w:r>
            <w:proofErr w:type="gramEnd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 xml:space="preserve"> CCPO)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A0D3F5" w14:textId="41314831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30 000,00 €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F01528" w14:textId="3CC2A16B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6 000,00 €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F684705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20,00%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6E795A17" w14:textId="44F642BC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15 000,00 €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40821BF1" w14:textId="41FC8FDF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3 000,00 €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BF1DE"/>
            <w:noWrap/>
            <w:vAlign w:val="center"/>
            <w:hideMark/>
          </w:tcPr>
          <w:p w14:paraId="5A76C27E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20,00%</w:t>
            </w:r>
          </w:p>
        </w:tc>
      </w:tr>
      <w:tr w:rsidR="00C0322A" w14:paraId="332FE227" w14:textId="77777777" w:rsidTr="00C0322A">
        <w:trPr>
          <w:trHeight w:val="492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DCA314" w14:textId="77777777" w:rsidR="00C0322A" w:rsidRDefault="00C0322A">
            <w:pP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3.5 Projet de local d'accueil (</w:t>
            </w:r>
            <w:proofErr w:type="gramStart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porteur:</w:t>
            </w:r>
            <w:proofErr w:type="gramEnd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 xml:space="preserve"> UC de Marck)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68F102" w14:textId="4C69D518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-  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F2C326" w14:textId="6EE7D508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-  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E357885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0,00%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445D7FDA" w14:textId="2E80B10C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-  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51FE997F" w14:textId="2CE8C98F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-  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BF1DE"/>
            <w:noWrap/>
            <w:vAlign w:val="center"/>
            <w:hideMark/>
          </w:tcPr>
          <w:p w14:paraId="2F538C08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0,00%</w:t>
            </w:r>
          </w:p>
        </w:tc>
      </w:tr>
      <w:tr w:rsidR="00C0322A" w14:paraId="3A519E8A" w14:textId="77777777" w:rsidTr="00C0322A">
        <w:trPr>
          <w:trHeight w:val="492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03C470" w14:textId="77777777" w:rsidR="00C0322A" w:rsidRDefault="00C0322A">
            <w:pP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3.4 et 3.5 Programme d'animations et d'évènements (</w:t>
            </w:r>
            <w:proofErr w:type="gramStart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porteur:</w:t>
            </w:r>
            <w:proofErr w:type="gramEnd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 xml:space="preserve"> Marck)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93E775" w14:textId="225F5E0D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7 950,00 €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236D7C" w14:textId="2403CA2F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1 785,00 €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92C2329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22,45%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3D4DB223" w14:textId="2A807D2B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7 950,00 €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68B7C52D" w14:textId="4C17A86B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1 785,00 €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BF1DE"/>
            <w:noWrap/>
            <w:vAlign w:val="center"/>
            <w:hideMark/>
          </w:tcPr>
          <w:p w14:paraId="6D142EBB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22,45%</w:t>
            </w:r>
          </w:p>
        </w:tc>
      </w:tr>
      <w:tr w:rsidR="00C0322A" w14:paraId="2009CC1D" w14:textId="77777777" w:rsidTr="00C0322A">
        <w:trPr>
          <w:trHeight w:val="468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3BEF78" w14:textId="77777777" w:rsidR="00C0322A" w:rsidRDefault="00C0322A">
            <w:pP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5.2 Mettre en place une veille urbanistique et réglementaire (</w:t>
            </w:r>
            <w:proofErr w:type="gramStart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porteur:</w:t>
            </w:r>
            <w:proofErr w:type="gramEnd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 xml:space="preserve"> SyMPaC)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5EB88A" w14:textId="4D038BD2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-  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DA8030" w14:textId="5AF7D70D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-  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374AD85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0,00%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6E31995C" w14:textId="753F2164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-  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7FD55AA6" w14:textId="61884BD8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-  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BF1DE"/>
            <w:noWrap/>
            <w:vAlign w:val="center"/>
            <w:hideMark/>
          </w:tcPr>
          <w:p w14:paraId="370398CD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0,00%</w:t>
            </w:r>
          </w:p>
        </w:tc>
      </w:tr>
      <w:tr w:rsidR="00C0322A" w14:paraId="28B85C17" w14:textId="77777777" w:rsidTr="00C0322A">
        <w:trPr>
          <w:trHeight w:val="492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E82DA2" w14:textId="77777777" w:rsidR="00C0322A" w:rsidRDefault="00C0322A">
            <w:pP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3.4 Création et relance des UC (</w:t>
            </w:r>
            <w:proofErr w:type="gramStart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porteur:</w:t>
            </w:r>
            <w:proofErr w:type="gramEnd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 xml:space="preserve"> SyMPAC)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2B6311" w14:textId="5DEC4D2F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40 000,00 €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843407" w14:textId="0B838D1B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8 000,00 €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9CCDADE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20,00%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52F546E5" w14:textId="49E3EEF1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-  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26ADADA3" w14:textId="1B2D5EAB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-  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BF1DE"/>
            <w:noWrap/>
            <w:vAlign w:val="center"/>
            <w:hideMark/>
          </w:tcPr>
          <w:p w14:paraId="6FEB1603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0,00%</w:t>
            </w:r>
          </w:p>
        </w:tc>
      </w:tr>
      <w:tr w:rsidR="00C0322A" w14:paraId="330243CF" w14:textId="77777777" w:rsidTr="00C0322A">
        <w:trPr>
          <w:trHeight w:val="492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B1A084" w14:textId="77777777" w:rsidR="00C0322A" w:rsidRDefault="00C0322A">
            <w:pP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lastRenderedPageBreak/>
              <w:t>4.3 Conférence sur l'e-économie (</w:t>
            </w:r>
            <w:proofErr w:type="gramStart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porteur:</w:t>
            </w:r>
            <w:proofErr w:type="gramEnd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 xml:space="preserve"> SyMPaC)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67D0B5" w14:textId="231E2973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9 000,00 €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BE60AE" w14:textId="56DED6B4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1 800,00 €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78FE481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20,00%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063DF4EB" w14:textId="464065AE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-  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11E99CDD" w14:textId="4F7DF381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-  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BF1DE"/>
            <w:noWrap/>
            <w:vAlign w:val="center"/>
            <w:hideMark/>
          </w:tcPr>
          <w:p w14:paraId="4A337452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0,00%</w:t>
            </w:r>
          </w:p>
        </w:tc>
      </w:tr>
      <w:tr w:rsidR="00C0322A" w14:paraId="0B2D66CE" w14:textId="77777777" w:rsidTr="00C0322A">
        <w:trPr>
          <w:trHeight w:val="492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F023C1" w14:textId="77777777" w:rsidR="00C0322A" w:rsidRDefault="00C0322A">
            <w:pPr>
              <w:rPr>
                <w:rFonts w:ascii="Metropolis" w:eastAsia="Times New Roman" w:hAnsi="Metropolis" w:cs="Arial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val="en-US" w:eastAsia="fr-FR"/>
              </w:rPr>
              <w:t>4.2 Application "Too good to go" (porteur: SyMPaC)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988EDD" w14:textId="6FD1EDBE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10 000,00 €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AD6F8F" w14:textId="385F157B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3 000,00 €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A9D6810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30,00%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43AE009C" w14:textId="3956B6DD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-  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055A2F80" w14:textId="1E6F992C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-  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BF1DE"/>
            <w:noWrap/>
            <w:vAlign w:val="center"/>
            <w:hideMark/>
          </w:tcPr>
          <w:p w14:paraId="6FDCF845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0,00%</w:t>
            </w:r>
          </w:p>
        </w:tc>
      </w:tr>
      <w:tr w:rsidR="00C0322A" w14:paraId="2A9AE183" w14:textId="77777777" w:rsidTr="00C0322A">
        <w:trPr>
          <w:trHeight w:val="492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CDAA80" w14:textId="77777777" w:rsidR="00C0322A" w:rsidRDefault="00C0322A">
            <w:pP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6.2 Etude d'évaluation des impacts du programme (</w:t>
            </w:r>
            <w:proofErr w:type="gramStart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porteur:</w:t>
            </w:r>
            <w:proofErr w:type="gramEnd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 xml:space="preserve"> SyMPaC)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12DD25" w14:textId="43744B63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20 000,00 €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BABCD1" w14:textId="55F3913E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6 000,00 €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4EA78BE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30,00%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5226CA31" w14:textId="383AD4CB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20 000,00 €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3527AA58" w14:textId="2843805A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6 000,00 €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BF1DE"/>
            <w:noWrap/>
            <w:vAlign w:val="center"/>
            <w:hideMark/>
          </w:tcPr>
          <w:p w14:paraId="4DBEC510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30,00%</w:t>
            </w:r>
          </w:p>
        </w:tc>
      </w:tr>
      <w:tr w:rsidR="00C0322A" w14:paraId="0CCAB556" w14:textId="77777777" w:rsidTr="00C0322A">
        <w:trPr>
          <w:trHeight w:val="492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CA2B3F" w14:textId="22BB8CEF" w:rsidR="00C0322A" w:rsidRDefault="00C0322A">
            <w:pP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 xml:space="preserve">Actions de </w:t>
            </w:r>
            <w:r w:rsidR="00671CE7"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communication liées</w:t>
            </w: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 xml:space="preserve"> au lancement de la plateforme d'e-commerce (</w:t>
            </w:r>
            <w:proofErr w:type="gramStart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porteur:</w:t>
            </w:r>
            <w:proofErr w:type="gramEnd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 xml:space="preserve"> CPETI)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E9BC64" w14:textId="4F1895E4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-  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ED447C" w14:textId="5F6636B5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-  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6692224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0,00%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5A4F716E" w14:textId="11CB50B8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3 000,00 €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34BF6533" w14:textId="3482E8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900,00 €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BF1DE"/>
            <w:noWrap/>
            <w:vAlign w:val="center"/>
            <w:hideMark/>
          </w:tcPr>
          <w:p w14:paraId="2D9A2002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30,00%</w:t>
            </w:r>
          </w:p>
        </w:tc>
      </w:tr>
      <w:tr w:rsidR="00C0322A" w14:paraId="071FA1DD" w14:textId="77777777" w:rsidTr="00C0322A">
        <w:trPr>
          <w:trHeight w:val="492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9B5817" w14:textId="77777777" w:rsidR="00C0322A" w:rsidRDefault="00C0322A">
            <w:pP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Réalisation d'une vidéo promotionnelle des commerçants du territoire de la CCRA (</w:t>
            </w:r>
            <w:proofErr w:type="gramStart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porteur:</w:t>
            </w:r>
            <w:proofErr w:type="gramEnd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 xml:space="preserve"> CPETI)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8F5EDE" w14:textId="7814A3AD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-  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3755CD" w14:textId="6289C5D8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-  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5E3435B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0,00%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5A9BE881" w14:textId="447A9EF1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3 000,00 €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2A337B0D" w14:textId="6FEB5AEF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900,00 €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BF1DE"/>
            <w:noWrap/>
            <w:vAlign w:val="center"/>
            <w:hideMark/>
          </w:tcPr>
          <w:p w14:paraId="14046191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30,00%</w:t>
            </w:r>
          </w:p>
        </w:tc>
      </w:tr>
      <w:tr w:rsidR="00C0322A" w14:paraId="0DEE0106" w14:textId="77777777" w:rsidTr="00C0322A">
        <w:trPr>
          <w:trHeight w:val="492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9158E0" w14:textId="60884926" w:rsidR="00C0322A" w:rsidRDefault="00C0322A">
            <w:pP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Création et abonnement à une solution numérique d'e-</w:t>
            </w:r>
            <w:r w:rsidR="00671CE7"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commerce (</w:t>
            </w:r>
            <w:proofErr w:type="gramStart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porteur:</w:t>
            </w:r>
            <w:proofErr w:type="gramEnd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 xml:space="preserve"> CCPO)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0B6F0D" w14:textId="00312AB5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-  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B03239" w14:textId="2AEB6511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-  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98368C9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0,00%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6157A3B6" w14:textId="0B6FBCB4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15 000,00 €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7A305BE6" w14:textId="1A7D991D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4 500,00 €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BF1DE"/>
            <w:noWrap/>
            <w:vAlign w:val="center"/>
            <w:hideMark/>
          </w:tcPr>
          <w:p w14:paraId="2C427E24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30,00%</w:t>
            </w:r>
          </w:p>
        </w:tc>
      </w:tr>
      <w:tr w:rsidR="00C0322A" w14:paraId="051CB9A4" w14:textId="77777777" w:rsidTr="00C0322A">
        <w:trPr>
          <w:trHeight w:val="492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AA03C4" w14:textId="77777777" w:rsidR="00C0322A" w:rsidRDefault="00C0322A">
            <w:pP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Actions de communication liées au lancement de la solution numérique d'e-commerce (</w:t>
            </w:r>
            <w:proofErr w:type="gramStart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porteur:</w:t>
            </w:r>
            <w:proofErr w:type="gramEnd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 xml:space="preserve"> CCPO)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5F6612" w14:textId="27BAE931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-  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DBA1B8" w14:textId="751A3F2E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-  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5D8003D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0,00%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4A8DE952" w14:textId="3979E115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5 000,00 €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413CBB5E" w14:textId="488910EF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1 500,00 €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BF1DE"/>
            <w:noWrap/>
            <w:vAlign w:val="center"/>
            <w:hideMark/>
          </w:tcPr>
          <w:p w14:paraId="51ECD10D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30,00%</w:t>
            </w:r>
          </w:p>
        </w:tc>
      </w:tr>
      <w:tr w:rsidR="00C0322A" w14:paraId="6D19DDC8" w14:textId="77777777" w:rsidTr="00C0322A">
        <w:trPr>
          <w:trHeight w:val="492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0A7ADB" w14:textId="77777777" w:rsidR="00C0322A" w:rsidRDefault="00C0322A">
            <w:pP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Actions de communication afin de promouvoir les commerçants et artisans locaux (porteur CCPO)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17F8D4" w14:textId="477554D6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-  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B1AB9E" w14:textId="0DF4BC39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-  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C1194A1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0,00%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297FC23A" w14:textId="0262EE32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10 000,00 €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254AE777" w14:textId="6D82CBF8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3 000,00 €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BF1DE"/>
            <w:noWrap/>
            <w:vAlign w:val="center"/>
            <w:hideMark/>
          </w:tcPr>
          <w:p w14:paraId="459E8324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30,00%</w:t>
            </w:r>
          </w:p>
        </w:tc>
      </w:tr>
      <w:tr w:rsidR="00C0322A" w14:paraId="0E7918AB" w14:textId="77777777" w:rsidTr="00C0322A">
        <w:trPr>
          <w:trHeight w:val="492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5E3C77" w14:textId="77777777" w:rsidR="00C0322A" w:rsidRDefault="00C0322A">
            <w:pP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Création et abonnement à une plateforme d'e-commerce (</w:t>
            </w:r>
            <w:proofErr w:type="gramStart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porteur:</w:t>
            </w:r>
            <w:proofErr w:type="gramEnd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 xml:space="preserve"> Marck)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426FFA" w14:textId="6D30E07F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-  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CEC65A" w14:textId="24CFA442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-  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89C4056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0,00%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1D5D14B0" w14:textId="5E095998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31 000,00 €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16EF57B7" w14:textId="642ECC6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6 621,54 €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BF1DE"/>
            <w:noWrap/>
            <w:vAlign w:val="center"/>
            <w:hideMark/>
          </w:tcPr>
          <w:p w14:paraId="7704CEA9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21,36%</w:t>
            </w:r>
          </w:p>
        </w:tc>
      </w:tr>
      <w:tr w:rsidR="00C0322A" w14:paraId="0994D444" w14:textId="77777777" w:rsidTr="00C0322A">
        <w:trPr>
          <w:trHeight w:val="492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B4018E" w14:textId="77777777" w:rsidR="00C0322A" w:rsidRDefault="00C0322A">
            <w:pP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Mise en œuvre du chèque malin (</w:t>
            </w:r>
            <w:proofErr w:type="gramStart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porteur:</w:t>
            </w:r>
            <w:proofErr w:type="gramEnd"/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 xml:space="preserve"> UC de Marck)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AC8F95" w14:textId="14C3562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-  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0D2FA7" w14:textId="637121CC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-  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1EA026B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0,00%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796B9A29" w14:textId="249E7D3A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915,42 €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30060830" w14:textId="26C86AE4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274,63 €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BF1DE"/>
            <w:noWrap/>
            <w:vAlign w:val="center"/>
            <w:hideMark/>
          </w:tcPr>
          <w:p w14:paraId="7274E57D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color w:val="000000"/>
                <w:sz w:val="24"/>
                <w:szCs w:val="24"/>
                <w:lang w:eastAsia="fr-FR"/>
              </w:rPr>
              <w:t>30,00%</w:t>
            </w:r>
          </w:p>
        </w:tc>
      </w:tr>
      <w:tr w:rsidR="00C0322A" w14:paraId="0A226889" w14:textId="77777777" w:rsidTr="00C0322A">
        <w:trPr>
          <w:trHeight w:val="492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9FDEE4" w14:textId="77777777" w:rsidR="00C0322A" w:rsidRDefault="00C0322A">
            <w:pPr>
              <w:rPr>
                <w:rFonts w:ascii="Metropolis" w:eastAsia="Times New Roman" w:hAnsi="Metropolis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b/>
                <w:bCs/>
                <w:sz w:val="24"/>
                <w:szCs w:val="24"/>
                <w:lang w:eastAsia="fr-FR"/>
              </w:rPr>
              <w:t xml:space="preserve">TOTAL 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368E6B" w14:textId="74A1291A" w:rsidR="00C0322A" w:rsidRDefault="00C0322A" w:rsidP="00C0322A">
            <w:pPr>
              <w:jc w:val="center"/>
              <w:rPr>
                <w:rFonts w:ascii="Metropolis" w:eastAsia="Times New Roman" w:hAnsi="Metropolis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b/>
                <w:bCs/>
                <w:sz w:val="24"/>
                <w:szCs w:val="24"/>
                <w:lang w:eastAsia="fr-FR"/>
              </w:rPr>
              <w:t>356 186,00 €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02848C" w14:textId="1582A629" w:rsidR="00C0322A" w:rsidRDefault="00C0322A" w:rsidP="00C0322A">
            <w:pPr>
              <w:jc w:val="center"/>
              <w:rPr>
                <w:rFonts w:ascii="Metropolis" w:eastAsia="Times New Roman" w:hAnsi="Metropolis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b/>
                <w:bCs/>
                <w:sz w:val="24"/>
                <w:szCs w:val="24"/>
                <w:lang w:eastAsia="fr-FR"/>
              </w:rPr>
              <w:t>69 410,00 €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4A3DB5C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b/>
                <w:bCs/>
                <w:sz w:val="24"/>
                <w:szCs w:val="24"/>
                <w:lang w:eastAsia="fr-FR"/>
              </w:rPr>
              <w:t>15%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6D230C7F" w14:textId="70596E58" w:rsidR="00C0322A" w:rsidRDefault="00C0322A" w:rsidP="00C0322A">
            <w:pPr>
              <w:jc w:val="center"/>
              <w:rPr>
                <w:rFonts w:ascii="Metropolis" w:eastAsia="Times New Roman" w:hAnsi="Metropolis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b/>
                <w:bCs/>
                <w:sz w:val="24"/>
                <w:szCs w:val="24"/>
                <w:lang w:eastAsia="fr-FR"/>
              </w:rPr>
              <w:t>378 430,57 €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74A34730" w14:textId="223BB927" w:rsidR="00C0322A" w:rsidRDefault="00C0322A" w:rsidP="00C0322A">
            <w:pPr>
              <w:jc w:val="center"/>
              <w:rPr>
                <w:rFonts w:ascii="Metropolis" w:eastAsia="Times New Roman" w:hAnsi="Metropolis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b/>
                <w:bCs/>
                <w:sz w:val="24"/>
                <w:szCs w:val="24"/>
                <w:lang w:eastAsia="fr-FR"/>
              </w:rPr>
              <w:t>69 410,00 €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EF01BC" w14:textId="77777777" w:rsidR="00C0322A" w:rsidRDefault="00C0322A" w:rsidP="00C0322A">
            <w:pPr>
              <w:jc w:val="center"/>
              <w:rPr>
                <w:rFonts w:ascii="Metropolis" w:eastAsia="Times New Roman" w:hAnsi="Metropolis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b/>
                <w:bCs/>
                <w:sz w:val="24"/>
                <w:szCs w:val="24"/>
                <w:lang w:eastAsia="fr-FR"/>
              </w:rPr>
              <w:t>17%</w:t>
            </w:r>
          </w:p>
        </w:tc>
      </w:tr>
      <w:tr w:rsidR="00C0322A" w14:paraId="5F9C46E1" w14:textId="77777777" w:rsidTr="00C0322A">
        <w:trPr>
          <w:trHeight w:val="504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10FE13" w14:textId="77777777" w:rsidR="00C0322A" w:rsidRDefault="00C0322A">
            <w:pPr>
              <w:rPr>
                <w:rFonts w:ascii="Metropolis" w:eastAsia="Times New Roman" w:hAnsi="Metropolis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b/>
                <w:bCs/>
                <w:color w:val="000000"/>
                <w:sz w:val="24"/>
                <w:szCs w:val="24"/>
                <w:lang w:eastAsia="fr-FR"/>
              </w:rPr>
              <w:t>Total investissement + fonctionnement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F0027B" w14:textId="35A635F2" w:rsidR="00C0322A" w:rsidRDefault="00C0322A" w:rsidP="00C0322A">
            <w:pPr>
              <w:jc w:val="center"/>
              <w:rPr>
                <w:rFonts w:ascii="Metropolis" w:eastAsia="Times New Roman" w:hAnsi="Metropolis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b/>
                <w:bCs/>
                <w:sz w:val="24"/>
                <w:szCs w:val="24"/>
                <w:lang w:eastAsia="fr-FR"/>
              </w:rPr>
              <w:t>1 855 838,00 €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9C11E2" w14:textId="2288EAF9" w:rsidR="00C0322A" w:rsidRDefault="00C0322A" w:rsidP="00C0322A">
            <w:pPr>
              <w:jc w:val="center"/>
              <w:rPr>
                <w:rFonts w:ascii="Metropolis" w:eastAsia="Times New Roman" w:hAnsi="Metropolis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b/>
                <w:bCs/>
                <w:color w:val="FF0000"/>
                <w:sz w:val="24"/>
                <w:szCs w:val="24"/>
                <w:lang w:eastAsia="fr-FR"/>
              </w:rPr>
              <w:t>230 112,00 €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  <w:vAlign w:val="center"/>
            <w:hideMark/>
          </w:tcPr>
          <w:p w14:paraId="5766E5D7" w14:textId="79AB1A89" w:rsidR="00C0322A" w:rsidRDefault="00C0322A" w:rsidP="00C0322A">
            <w:pPr>
              <w:jc w:val="center"/>
              <w:rPr>
                <w:rFonts w:ascii="Metropolis" w:eastAsia="Times New Roman" w:hAnsi="Metropolis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218C41AC" w14:textId="2E726889" w:rsidR="00C0322A" w:rsidRDefault="00C0322A" w:rsidP="00C0322A">
            <w:pPr>
              <w:jc w:val="center"/>
              <w:rPr>
                <w:rFonts w:ascii="Metropolis" w:eastAsia="Times New Roman" w:hAnsi="Metropolis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b/>
                <w:bCs/>
                <w:sz w:val="24"/>
                <w:szCs w:val="24"/>
                <w:lang w:eastAsia="fr-FR"/>
              </w:rPr>
              <w:t>1 682 927,52 €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14:paraId="1CC031C9" w14:textId="6EC5142E" w:rsidR="00C0322A" w:rsidRDefault="00C0322A" w:rsidP="00C0322A">
            <w:pPr>
              <w:jc w:val="center"/>
              <w:rPr>
                <w:rFonts w:ascii="Metropolis" w:eastAsia="Times New Roman" w:hAnsi="Metropolis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Arial"/>
                <w:b/>
                <w:bCs/>
                <w:color w:val="FF0000"/>
                <w:sz w:val="24"/>
                <w:szCs w:val="24"/>
                <w:lang w:eastAsia="fr-FR"/>
              </w:rPr>
              <w:t>230 112,00 €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  <w:vAlign w:val="center"/>
            <w:hideMark/>
          </w:tcPr>
          <w:p w14:paraId="1442BEBE" w14:textId="19A426D1" w:rsidR="00C0322A" w:rsidRDefault="00C0322A" w:rsidP="00C0322A">
            <w:pPr>
              <w:jc w:val="center"/>
              <w:rPr>
                <w:rFonts w:ascii="Metropolis" w:eastAsia="Times New Roman" w:hAnsi="Metropolis" w:cs="Arial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14:paraId="055ED946" w14:textId="77777777" w:rsidR="00C0322A" w:rsidRDefault="00C0322A"/>
    <w:sectPr w:rsidR="00C0322A" w:rsidSect="00C0322A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ropoli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22A"/>
    <w:rsid w:val="002C6310"/>
    <w:rsid w:val="003744F3"/>
    <w:rsid w:val="00671CE7"/>
    <w:rsid w:val="00A60C24"/>
    <w:rsid w:val="00C0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A707"/>
  <w15:chartTrackingRefBased/>
  <w15:docId w15:val="{06468CCC-F037-4A2B-82C1-AC57E354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22A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03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5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823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Tueux</dc:creator>
  <cp:keywords/>
  <dc:description/>
  <cp:lastModifiedBy>Julie</cp:lastModifiedBy>
  <cp:revision>2</cp:revision>
  <dcterms:created xsi:type="dcterms:W3CDTF">2021-09-15T08:33:00Z</dcterms:created>
  <dcterms:modified xsi:type="dcterms:W3CDTF">2021-09-15T09:29:00Z</dcterms:modified>
</cp:coreProperties>
</file>